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AB" w:rsidRPr="002314DF" w:rsidRDefault="00041EAB" w:rsidP="00041EAB">
      <w:pPr>
        <w:jc w:val="right"/>
        <w:rPr>
          <w:rFonts w:asciiTheme="minorHAnsi" w:hAnsiTheme="minorHAnsi" w:cstheme="minorHAnsi"/>
          <w:b/>
          <w:bCs/>
        </w:rPr>
      </w:pPr>
      <w:r w:rsidRPr="002314DF">
        <w:rPr>
          <w:rFonts w:asciiTheme="minorHAnsi" w:hAnsiTheme="minorHAnsi" w:cstheme="minorHAnsi"/>
          <w:b/>
          <w:bCs/>
        </w:rPr>
        <w:t xml:space="preserve">São Pedro da Aldeia, </w:t>
      </w:r>
      <w:r w:rsidR="006D22CD">
        <w:rPr>
          <w:rFonts w:asciiTheme="minorHAnsi" w:hAnsiTheme="minorHAnsi" w:cstheme="minorHAnsi"/>
          <w:b/>
          <w:bCs/>
        </w:rPr>
        <w:t>25 de novembro</w:t>
      </w:r>
      <w:r w:rsidR="00767532" w:rsidRPr="002314DF">
        <w:rPr>
          <w:rFonts w:asciiTheme="minorHAnsi" w:hAnsiTheme="minorHAnsi" w:cstheme="minorHAnsi"/>
          <w:b/>
          <w:bCs/>
        </w:rPr>
        <w:t xml:space="preserve"> de 201</w:t>
      </w:r>
      <w:r w:rsidR="006D22CD">
        <w:rPr>
          <w:rFonts w:asciiTheme="minorHAnsi" w:hAnsiTheme="minorHAnsi" w:cstheme="minorHAnsi"/>
          <w:b/>
          <w:bCs/>
        </w:rPr>
        <w:t>9</w:t>
      </w:r>
      <w:r w:rsidRPr="002314DF">
        <w:rPr>
          <w:rFonts w:asciiTheme="minorHAnsi" w:hAnsiTheme="minorHAnsi" w:cstheme="minorHAnsi"/>
          <w:b/>
          <w:bCs/>
        </w:rPr>
        <w:t>.</w:t>
      </w:r>
    </w:p>
    <w:p w:rsidR="00041EAB" w:rsidRPr="002314DF" w:rsidRDefault="00041EAB" w:rsidP="00041EAB">
      <w:pPr>
        <w:jc w:val="center"/>
        <w:rPr>
          <w:rFonts w:asciiTheme="minorHAnsi" w:hAnsiTheme="minorHAnsi" w:cstheme="minorHAnsi"/>
        </w:rPr>
      </w:pPr>
    </w:p>
    <w:p w:rsidR="00041EAB" w:rsidRPr="002314DF" w:rsidRDefault="00041EAB" w:rsidP="00041EAB">
      <w:pPr>
        <w:jc w:val="center"/>
        <w:rPr>
          <w:rFonts w:asciiTheme="minorHAnsi" w:hAnsiTheme="minorHAnsi" w:cstheme="minorHAnsi"/>
          <w:b/>
          <w:u w:val="single"/>
        </w:rPr>
      </w:pPr>
      <w:r w:rsidRPr="002314DF">
        <w:rPr>
          <w:rFonts w:asciiTheme="minorHAnsi" w:hAnsiTheme="minorHAnsi" w:cstheme="minorHAnsi"/>
          <w:b/>
          <w:u w:val="single"/>
        </w:rPr>
        <w:t>TERMO DE REFERÊNCIA</w:t>
      </w:r>
    </w:p>
    <w:p w:rsidR="00121E3E" w:rsidRPr="002314DF" w:rsidRDefault="00121E3E" w:rsidP="00041EAB">
      <w:pPr>
        <w:jc w:val="center"/>
        <w:rPr>
          <w:rFonts w:asciiTheme="minorHAnsi" w:hAnsiTheme="minorHAnsi" w:cstheme="minorHAnsi"/>
          <w:b/>
          <w:u w:val="single"/>
        </w:rPr>
      </w:pPr>
    </w:p>
    <w:p w:rsidR="00B42260" w:rsidRPr="00054EFC" w:rsidRDefault="00B42260" w:rsidP="00B42260">
      <w:pPr>
        <w:ind w:firstLine="567"/>
        <w:rPr>
          <w:rFonts w:ascii="Calibri" w:hAnsi="Calibri" w:cs="Calibri"/>
          <w:b/>
          <w:sz w:val="22"/>
          <w:szCs w:val="22"/>
          <w:u w:val="single"/>
        </w:rPr>
      </w:pPr>
      <w:r w:rsidRPr="00054EFC">
        <w:rPr>
          <w:rFonts w:ascii="Calibri" w:hAnsi="Calibri" w:cs="Calibri"/>
          <w:b/>
          <w:sz w:val="22"/>
          <w:szCs w:val="22"/>
          <w:u w:val="single"/>
        </w:rPr>
        <w:t>OBJETO:</w:t>
      </w:r>
    </w:p>
    <w:p w:rsidR="00B42260" w:rsidRPr="002314DF" w:rsidRDefault="00B42260" w:rsidP="00B42260">
      <w:pPr>
        <w:ind w:firstLine="567"/>
        <w:rPr>
          <w:rFonts w:asciiTheme="minorHAnsi" w:hAnsiTheme="minorHAnsi" w:cstheme="minorHAnsi"/>
        </w:rPr>
      </w:pPr>
      <w:r w:rsidRPr="002314DF">
        <w:rPr>
          <w:rFonts w:asciiTheme="minorHAnsi" w:hAnsiTheme="minorHAnsi" w:cstheme="minorHAnsi"/>
        </w:rPr>
        <w:t>Contratação de Empresa para fornecer Capa</w:t>
      </w:r>
      <w:r>
        <w:rPr>
          <w:rFonts w:asciiTheme="minorHAnsi" w:hAnsiTheme="minorHAnsi" w:cstheme="minorHAnsi"/>
        </w:rPr>
        <w:t>s de P</w:t>
      </w:r>
      <w:r w:rsidRPr="002314DF">
        <w:rPr>
          <w:rFonts w:asciiTheme="minorHAnsi" w:hAnsiTheme="minorHAnsi" w:cstheme="minorHAnsi"/>
        </w:rPr>
        <w:t xml:space="preserve">rocesso </w:t>
      </w:r>
      <w:r>
        <w:rPr>
          <w:rFonts w:asciiTheme="minorHAnsi" w:hAnsiTheme="minorHAnsi" w:cstheme="minorHAnsi"/>
        </w:rPr>
        <w:t xml:space="preserve">em </w:t>
      </w:r>
      <w:r w:rsidRPr="002314DF">
        <w:rPr>
          <w:rFonts w:asciiTheme="minorHAnsi" w:hAnsiTheme="minorHAnsi" w:cstheme="minorHAnsi"/>
        </w:rPr>
        <w:t>papel cartão de 240G na</w:t>
      </w:r>
      <w:r w:rsidR="006D22CD">
        <w:rPr>
          <w:rFonts w:asciiTheme="minorHAnsi" w:hAnsiTheme="minorHAnsi" w:cstheme="minorHAnsi"/>
        </w:rPr>
        <w:t xml:space="preserve"> cor</w:t>
      </w:r>
      <w:r w:rsidRPr="002314DF">
        <w:rPr>
          <w:rFonts w:asciiTheme="minorHAnsi" w:hAnsiTheme="minorHAnsi" w:cstheme="minorHAnsi"/>
        </w:rPr>
        <w:t xml:space="preserve"> azul </w:t>
      </w:r>
      <w:r>
        <w:rPr>
          <w:rFonts w:asciiTheme="minorHAnsi" w:hAnsiTheme="minorHAnsi" w:cstheme="minorHAnsi"/>
        </w:rPr>
        <w:t>na quantidade de 1</w:t>
      </w:r>
      <w:r w:rsidR="006D22CD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.000 mil</w:t>
      </w:r>
      <w:r w:rsidRPr="002314DF">
        <w:rPr>
          <w:rFonts w:asciiTheme="minorHAnsi" w:hAnsiTheme="minorHAnsi" w:cstheme="minorHAnsi"/>
        </w:rPr>
        <w:t>, para atender ao Departamento de Protocolo da Secretaria Municipal de Administração, na abertura de processos administrativos</w:t>
      </w:r>
      <w:r w:rsidR="006D22CD">
        <w:rPr>
          <w:rFonts w:asciiTheme="minorHAnsi" w:hAnsiTheme="minorHAnsi" w:cstheme="minorHAnsi"/>
        </w:rPr>
        <w:t xml:space="preserve"> no exercício de 2020</w:t>
      </w:r>
      <w:r w:rsidRPr="002314DF">
        <w:rPr>
          <w:rFonts w:asciiTheme="minorHAnsi" w:hAnsiTheme="minorHAnsi" w:cstheme="minorHAnsi"/>
        </w:rPr>
        <w:t>.</w:t>
      </w:r>
    </w:p>
    <w:p w:rsidR="00B42260" w:rsidRPr="00054EFC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</w:p>
    <w:p w:rsidR="00B42260" w:rsidRPr="00054EFC" w:rsidRDefault="00B42260" w:rsidP="00B42260">
      <w:pPr>
        <w:ind w:firstLine="567"/>
        <w:rPr>
          <w:rFonts w:asciiTheme="minorHAnsi" w:hAnsiTheme="minorHAnsi" w:cs="Arial"/>
          <w:b/>
          <w:sz w:val="22"/>
          <w:szCs w:val="22"/>
          <w:u w:val="single"/>
        </w:rPr>
      </w:pPr>
      <w:r w:rsidRPr="00054EFC">
        <w:rPr>
          <w:rFonts w:asciiTheme="minorHAnsi" w:hAnsiTheme="minorHAnsi" w:cs="Arial"/>
          <w:b/>
          <w:sz w:val="22"/>
          <w:szCs w:val="22"/>
          <w:u w:val="single"/>
        </w:rPr>
        <w:t>JUSTIFICATIVA:</w:t>
      </w:r>
    </w:p>
    <w:p w:rsidR="00B42260" w:rsidRPr="002314DF" w:rsidRDefault="00B42260" w:rsidP="00B42260">
      <w:pPr>
        <w:ind w:firstLine="567"/>
        <w:rPr>
          <w:rFonts w:asciiTheme="minorHAnsi" w:hAnsiTheme="minorHAnsi" w:cstheme="minorHAnsi"/>
        </w:rPr>
      </w:pPr>
      <w:r w:rsidRPr="002314DF">
        <w:rPr>
          <w:rFonts w:asciiTheme="minorHAnsi" w:hAnsiTheme="minorHAnsi" w:cstheme="minorHAnsi"/>
        </w:rPr>
        <w:t>Suprir as necessidades do Departamento de Protocolo da Secretaria Municipal de Administração, na abertura de processos administrativos</w:t>
      </w:r>
      <w:r w:rsidR="006D22CD">
        <w:rPr>
          <w:rFonts w:asciiTheme="minorHAnsi" w:hAnsiTheme="minorHAnsi" w:cstheme="minorHAnsi"/>
        </w:rPr>
        <w:t xml:space="preserve"> para o exercício de 2020</w:t>
      </w:r>
      <w:r w:rsidRPr="002314DF">
        <w:rPr>
          <w:rFonts w:asciiTheme="minorHAnsi" w:hAnsiTheme="minorHAnsi" w:cstheme="minorHAnsi"/>
        </w:rPr>
        <w:t>.</w:t>
      </w:r>
    </w:p>
    <w:p w:rsidR="00B42260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</w:p>
    <w:p w:rsidR="00B42260" w:rsidRDefault="00B42260" w:rsidP="00B42260">
      <w:pPr>
        <w:ind w:firstLine="567"/>
        <w:rPr>
          <w:rFonts w:ascii="Calibri" w:hAnsi="Calibri" w:cs="Calibri"/>
          <w:b/>
          <w:sz w:val="22"/>
          <w:szCs w:val="22"/>
          <w:u w:val="single"/>
        </w:rPr>
      </w:pPr>
      <w:r w:rsidRPr="00846BD9">
        <w:rPr>
          <w:rFonts w:ascii="Calibri" w:hAnsi="Calibri" w:cs="Calibri"/>
          <w:b/>
          <w:sz w:val="22"/>
          <w:szCs w:val="22"/>
          <w:u w:val="single"/>
        </w:rPr>
        <w:t xml:space="preserve">MÉTODO E ESTRATÉGIAS DE </w:t>
      </w:r>
      <w:r>
        <w:rPr>
          <w:rFonts w:ascii="Calibri" w:hAnsi="Calibri" w:cs="Calibri"/>
          <w:b/>
          <w:sz w:val="22"/>
          <w:szCs w:val="22"/>
          <w:u w:val="single"/>
        </w:rPr>
        <w:t>SUPRIMENTO</w:t>
      </w:r>
      <w:r w:rsidRPr="00846BD9"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B42260" w:rsidRPr="002314DF" w:rsidRDefault="00B42260" w:rsidP="00B42260">
      <w:pPr>
        <w:ind w:firstLine="567"/>
        <w:rPr>
          <w:rFonts w:asciiTheme="minorHAnsi" w:hAnsiTheme="minorHAnsi" w:cstheme="minorHAnsi"/>
        </w:rPr>
      </w:pPr>
      <w:r w:rsidRPr="002314DF">
        <w:rPr>
          <w:rFonts w:asciiTheme="minorHAnsi" w:hAnsiTheme="minorHAnsi" w:cstheme="minorHAnsi"/>
        </w:rPr>
        <w:t xml:space="preserve">As capas serão entregues em seu quantitativo total, após </w:t>
      </w:r>
      <w:r>
        <w:rPr>
          <w:rFonts w:asciiTheme="minorHAnsi" w:hAnsiTheme="minorHAnsi" w:cstheme="minorHAnsi"/>
        </w:rPr>
        <w:t>ordem de fornecime</w:t>
      </w:r>
      <w:r w:rsidRPr="002314DF">
        <w:rPr>
          <w:rFonts w:asciiTheme="minorHAnsi" w:hAnsiTheme="minorHAnsi" w:cstheme="minorHAnsi"/>
        </w:rPr>
        <w:t>nto,</w:t>
      </w:r>
      <w:r w:rsidR="00A71CFF">
        <w:rPr>
          <w:rFonts w:asciiTheme="minorHAnsi" w:hAnsiTheme="minorHAnsi" w:cstheme="minorHAnsi"/>
        </w:rPr>
        <w:t xml:space="preserve"> em até 7 (sete) dias úteis,</w:t>
      </w:r>
      <w:r w:rsidRPr="002314DF">
        <w:rPr>
          <w:rFonts w:asciiTheme="minorHAnsi" w:hAnsiTheme="minorHAnsi" w:cstheme="minorHAnsi"/>
        </w:rPr>
        <w:t xml:space="preserve"> no Almoxarifado da Secretaria Municipal de Administração, localizado na Rua Agenor Beltrão, 259 – Porto da Aldeia, de segunda-feira a sexta-feira no horário de 10h as 16h, e retiradas mediante necessidade do departamento de Protocolo por requisição assinada pelo responsável do setor.</w:t>
      </w:r>
    </w:p>
    <w:p w:rsidR="00B42260" w:rsidRPr="00054EFC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</w:p>
    <w:p w:rsidR="00B42260" w:rsidRDefault="00B42260" w:rsidP="00B42260">
      <w:pPr>
        <w:ind w:firstLine="567"/>
        <w:rPr>
          <w:rFonts w:ascii="Calibri" w:hAnsi="Calibri" w:cs="Calibri"/>
          <w:b/>
          <w:sz w:val="22"/>
          <w:szCs w:val="22"/>
          <w:u w:val="single"/>
        </w:rPr>
      </w:pPr>
      <w:r w:rsidRPr="00846BD9">
        <w:rPr>
          <w:rFonts w:ascii="Calibri" w:hAnsi="Calibri" w:cs="Calibri"/>
          <w:b/>
          <w:sz w:val="22"/>
          <w:szCs w:val="22"/>
          <w:u w:val="single"/>
        </w:rPr>
        <w:t>CONDIÇÕES DE GUARDA E ARMAZENAMENTO:</w:t>
      </w:r>
    </w:p>
    <w:p w:rsidR="00B42260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 produtos serão armazenados no Almoxarifado Central, que atenderá aos requisitos de armazenagem e empilhamento dos bens, em local arejado e sem umidade.</w:t>
      </w:r>
    </w:p>
    <w:p w:rsidR="00B42260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</w:p>
    <w:p w:rsidR="00B42260" w:rsidRDefault="00B42260" w:rsidP="00B42260">
      <w:pPr>
        <w:ind w:firstLine="567"/>
        <w:rPr>
          <w:rFonts w:ascii="Calibri" w:hAnsi="Calibri" w:cs="Calibri"/>
          <w:b/>
          <w:sz w:val="22"/>
          <w:szCs w:val="22"/>
          <w:u w:val="single"/>
        </w:rPr>
      </w:pPr>
      <w:r w:rsidRPr="00846BD9">
        <w:rPr>
          <w:rFonts w:ascii="Calibri" w:hAnsi="Calibri" w:cs="Calibri"/>
          <w:b/>
          <w:sz w:val="22"/>
          <w:szCs w:val="22"/>
          <w:u w:val="single"/>
        </w:rPr>
        <w:t>TÉCNICAS QUNATITATIVAS:</w:t>
      </w:r>
    </w:p>
    <w:p w:rsidR="00985E39" w:rsidRDefault="00985E39" w:rsidP="00B42260">
      <w:pPr>
        <w:ind w:firstLine="567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</w:p>
    <w:p w:rsidR="00B42260" w:rsidRPr="00861423" w:rsidRDefault="00B42260" w:rsidP="00B42260">
      <w:pPr>
        <w:ind w:firstLine="567"/>
        <w:rPr>
          <w:rFonts w:asciiTheme="minorHAnsi" w:hAnsiTheme="minorHAnsi" w:cstheme="minorHAnsi"/>
        </w:rPr>
      </w:pPr>
      <w:r w:rsidRPr="00861423">
        <w:rPr>
          <w:rFonts w:asciiTheme="minorHAnsi" w:hAnsiTheme="minorHAnsi" w:cstheme="minorHAnsi"/>
        </w:rPr>
        <w:t xml:space="preserve">O quantitativo foi estimado com base na demanda de utilização </w:t>
      </w:r>
      <w:r>
        <w:rPr>
          <w:rFonts w:asciiTheme="minorHAnsi" w:hAnsiTheme="minorHAnsi" w:cstheme="minorHAnsi"/>
        </w:rPr>
        <w:t xml:space="preserve">das capas </w:t>
      </w:r>
      <w:r w:rsidRPr="00861423">
        <w:rPr>
          <w:rFonts w:asciiTheme="minorHAnsi" w:hAnsiTheme="minorHAnsi" w:cstheme="minorHAnsi"/>
        </w:rPr>
        <w:t>no</w:t>
      </w:r>
      <w:r>
        <w:rPr>
          <w:rFonts w:asciiTheme="minorHAnsi" w:hAnsiTheme="minorHAnsi" w:cstheme="minorHAnsi"/>
        </w:rPr>
        <w:t xml:space="preserve"> </w:t>
      </w:r>
      <w:r w:rsidRPr="00861423">
        <w:rPr>
          <w:rFonts w:asciiTheme="minorHAnsi" w:hAnsiTheme="minorHAnsi" w:cstheme="minorHAnsi"/>
        </w:rPr>
        <w:t>ano anterior.</w:t>
      </w:r>
    </w:p>
    <w:p w:rsidR="00B42260" w:rsidRPr="00861423" w:rsidRDefault="00B42260" w:rsidP="00B42260">
      <w:pPr>
        <w:ind w:firstLine="567"/>
        <w:rPr>
          <w:rFonts w:asciiTheme="minorHAnsi" w:hAnsiTheme="minorHAnsi" w:cstheme="minorHAnsi"/>
        </w:rPr>
      </w:pPr>
      <w:r w:rsidRPr="00861423">
        <w:rPr>
          <w:rFonts w:asciiTheme="minorHAnsi" w:hAnsiTheme="minorHAnsi" w:cstheme="minorHAnsi"/>
        </w:rPr>
        <w:t xml:space="preserve">Informo ainda que o material será utilizado até 31 de dezembro </w:t>
      </w:r>
      <w:r w:rsidR="006D22CD">
        <w:rPr>
          <w:rFonts w:asciiTheme="minorHAnsi" w:hAnsiTheme="minorHAnsi" w:cstheme="minorHAnsi"/>
        </w:rPr>
        <w:t>de 2020</w:t>
      </w:r>
      <w:r w:rsidRPr="00861423">
        <w:rPr>
          <w:rFonts w:asciiTheme="minorHAnsi" w:hAnsiTheme="minorHAnsi" w:cstheme="minorHAnsi"/>
        </w:rPr>
        <w:t>.</w:t>
      </w:r>
    </w:p>
    <w:p w:rsidR="00B42260" w:rsidRDefault="00B42260" w:rsidP="00B42260">
      <w:pPr>
        <w:ind w:firstLine="567"/>
        <w:rPr>
          <w:rFonts w:asciiTheme="minorHAnsi" w:hAnsiTheme="minorHAnsi" w:cstheme="minorHAnsi"/>
        </w:rPr>
      </w:pPr>
    </w:p>
    <w:p w:rsidR="00B42260" w:rsidRDefault="00B42260" w:rsidP="00B42260">
      <w:pPr>
        <w:ind w:firstLine="567"/>
        <w:rPr>
          <w:rFonts w:asciiTheme="minorHAnsi" w:hAnsiTheme="minorHAnsi" w:cstheme="minorHAnsi"/>
        </w:rPr>
      </w:pPr>
    </w:p>
    <w:p w:rsidR="00B42260" w:rsidRDefault="00B42260" w:rsidP="00B42260">
      <w:pPr>
        <w:ind w:firstLine="567"/>
        <w:rPr>
          <w:rFonts w:asciiTheme="minorHAnsi" w:hAnsiTheme="minorHAnsi" w:cstheme="minorHAnsi"/>
        </w:rPr>
      </w:pPr>
    </w:p>
    <w:p w:rsidR="00B42260" w:rsidRPr="00861423" w:rsidRDefault="00B42260" w:rsidP="00B42260">
      <w:pPr>
        <w:ind w:firstLine="567"/>
        <w:rPr>
          <w:rFonts w:asciiTheme="minorHAnsi" w:hAnsiTheme="minorHAnsi" w:cstheme="minorHAnsi"/>
        </w:rPr>
      </w:pPr>
    </w:p>
    <w:p w:rsidR="00B42260" w:rsidRPr="00846BD9" w:rsidRDefault="00B42260" w:rsidP="00B42260">
      <w:pPr>
        <w:ind w:firstLine="567"/>
        <w:rPr>
          <w:rFonts w:ascii="Calibri" w:hAnsi="Calibri" w:cs="Calibri"/>
          <w:b/>
          <w:sz w:val="22"/>
          <w:szCs w:val="22"/>
          <w:u w:val="single"/>
        </w:rPr>
      </w:pPr>
    </w:p>
    <w:p w:rsidR="00B42260" w:rsidRPr="00BF022C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DESTINAÇÃO DOS BENS:</w:t>
      </w:r>
    </w:p>
    <w:p w:rsidR="00B42260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  <w:r w:rsidRPr="00054EFC">
        <w:rPr>
          <w:rFonts w:ascii="Calibri" w:hAnsi="Calibri" w:cs="Calibri"/>
          <w:sz w:val="22"/>
          <w:szCs w:val="22"/>
        </w:rPr>
        <w:t>Os materiais deverão ser entregues, de uma só vez, no Departamento de Almoxarifado e Patrimônio da Secretaria Municipal de Administração, localizado a Rua Agenor Beltrão – 259, Porto da Aldeia</w:t>
      </w:r>
      <w:r>
        <w:rPr>
          <w:rFonts w:ascii="Calibri" w:hAnsi="Calibri" w:cs="Calibri"/>
          <w:sz w:val="22"/>
          <w:szCs w:val="22"/>
        </w:rPr>
        <w:t>, logo após Ordem de Fornecimento.</w:t>
      </w:r>
    </w:p>
    <w:p w:rsidR="00B42260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 material será retirado, mediante necessidade, pela Diretoria de Tecnologia da Informática, através de requisição de material devidamente autorizada.</w:t>
      </w:r>
    </w:p>
    <w:p w:rsidR="00B42260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</w:p>
    <w:p w:rsidR="00B42260" w:rsidRDefault="00B42260" w:rsidP="00B42260">
      <w:pPr>
        <w:ind w:firstLine="567"/>
        <w:rPr>
          <w:rFonts w:ascii="Calibri" w:hAnsi="Calibri" w:cs="Calibri"/>
          <w:b/>
          <w:sz w:val="22"/>
          <w:szCs w:val="22"/>
          <w:u w:val="single"/>
        </w:rPr>
      </w:pPr>
      <w:r w:rsidRPr="00E838CA">
        <w:rPr>
          <w:rFonts w:ascii="Calibri" w:hAnsi="Calibri" w:cs="Calibri"/>
          <w:b/>
          <w:sz w:val="22"/>
          <w:szCs w:val="22"/>
          <w:u w:val="single"/>
        </w:rPr>
        <w:t>RECEBIMENTO DOS BENS:</w:t>
      </w:r>
    </w:p>
    <w:p w:rsidR="00B42260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 bens serão recebidos:</w:t>
      </w:r>
    </w:p>
    <w:p w:rsidR="00B42260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Provisoriamente, a partir da entrega, para efeito de verificação da conformidade com as especificações constantes do Edital e da proposta.</w:t>
      </w:r>
    </w:p>
    <w:p w:rsidR="00B42260" w:rsidRPr="00E838CA" w:rsidRDefault="00B42260" w:rsidP="00B42260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Definitivamente, após a verificação da conformidade com as especificações constantes do Edital e da proposta, e sua consequente aceitação.</w:t>
      </w:r>
    </w:p>
    <w:p w:rsidR="00B42260" w:rsidRPr="00054EFC" w:rsidRDefault="00B42260" w:rsidP="00B42260">
      <w:pPr>
        <w:ind w:firstLine="567"/>
        <w:rPr>
          <w:rFonts w:ascii="Calibri" w:hAnsi="Calibri" w:cs="Calibri"/>
          <w:b/>
          <w:sz w:val="22"/>
          <w:szCs w:val="22"/>
          <w:u w:val="single"/>
        </w:rPr>
      </w:pPr>
    </w:p>
    <w:p w:rsidR="00B42260" w:rsidRDefault="00B42260" w:rsidP="00B42260">
      <w:pPr>
        <w:pStyle w:val="PargrafodaLista"/>
        <w:tabs>
          <w:tab w:val="left" w:pos="284"/>
          <w:tab w:val="left" w:pos="709"/>
          <w:tab w:val="left" w:pos="1276"/>
        </w:tabs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054EFC">
        <w:rPr>
          <w:rFonts w:asciiTheme="minorHAnsi" w:hAnsiTheme="minorHAnsi" w:cstheme="minorHAnsi"/>
          <w:b/>
          <w:u w:val="single"/>
        </w:rPr>
        <w:t>OBRIGAÇÕES DA CONTRATADA:</w:t>
      </w:r>
    </w:p>
    <w:p w:rsidR="00B42260" w:rsidRPr="00054EFC" w:rsidRDefault="00B42260" w:rsidP="00B42260">
      <w:pPr>
        <w:pStyle w:val="PargrafodaLista"/>
        <w:tabs>
          <w:tab w:val="left" w:pos="284"/>
          <w:tab w:val="left" w:pos="709"/>
          <w:tab w:val="left" w:pos="1276"/>
        </w:tabs>
        <w:spacing w:after="0" w:line="360" w:lineRule="auto"/>
        <w:rPr>
          <w:rFonts w:asciiTheme="minorHAnsi" w:hAnsiTheme="minorHAnsi" w:cstheme="minorHAnsi"/>
          <w:color w:val="000000"/>
        </w:rPr>
      </w:pPr>
      <w:r w:rsidRPr="00054EFC">
        <w:rPr>
          <w:rFonts w:asciiTheme="minorHAnsi" w:hAnsiTheme="minorHAnsi" w:cstheme="minorHAnsi"/>
          <w:color w:val="000000"/>
        </w:rPr>
        <w:t>A Contratada obriga-se a: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 xml:space="preserve">Efetuar a entrega dos </w:t>
      </w:r>
      <w:r w:rsidR="00193E84">
        <w:rPr>
          <w:rFonts w:asciiTheme="minorHAnsi" w:hAnsiTheme="minorHAnsi" w:cstheme="minorHAnsi"/>
          <w:sz w:val="22"/>
          <w:szCs w:val="22"/>
        </w:rPr>
        <w:t>materiais</w:t>
      </w:r>
      <w:r w:rsidRPr="00054EFC">
        <w:rPr>
          <w:rFonts w:asciiTheme="minorHAnsi" w:hAnsiTheme="minorHAnsi" w:cstheme="minorHAnsi"/>
          <w:sz w:val="22"/>
          <w:szCs w:val="22"/>
        </w:rPr>
        <w:t xml:space="preserve"> em perfeitas condições, no prazo e local indicados pela Administração, em estrita observância das especificações do Edital e da proposta, acompanhado da respectiva nota fiscal constando detalhadamente as indicações da marca, fabricante, modelo, tipo, procedência e prazo de garantia;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 xml:space="preserve">Os </w:t>
      </w:r>
      <w:r w:rsidR="00193E84">
        <w:rPr>
          <w:rFonts w:asciiTheme="minorHAnsi" w:hAnsiTheme="minorHAnsi" w:cstheme="minorHAnsi"/>
          <w:sz w:val="22"/>
          <w:szCs w:val="22"/>
        </w:rPr>
        <w:t>materiais</w:t>
      </w:r>
      <w:r w:rsidRPr="00054EFC">
        <w:rPr>
          <w:rFonts w:asciiTheme="minorHAnsi" w:hAnsiTheme="minorHAnsi" w:cstheme="minorHAnsi"/>
          <w:sz w:val="22"/>
          <w:szCs w:val="22"/>
        </w:rPr>
        <w:t xml:space="preserve"> devem estar acompanhados, ainda, quando for o caso, do manual do usuário, com uma versão em português, e da relação da rede de assistência técnica autorizada;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Responsabilizar-se pelos vícios e danos decorrentes do produto, de acordo com os artigos 12, 13, 18 e 26, do Código de Defesa do Consumidor (Lei nº 8.078, de 1990);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O dever previsto no subitem anterior implica na obrigação de, a critério da Administração, substituir, reparar, corrigir, remover, ou reconstruir, às suas expensas, no prazo máximo de 15 (quinze) dias</w:t>
      </w:r>
      <w:r w:rsidRPr="00054EFC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Pr="00054EFC">
        <w:rPr>
          <w:rFonts w:asciiTheme="minorHAnsi" w:hAnsiTheme="minorHAnsi" w:cstheme="minorHAnsi"/>
          <w:sz w:val="22"/>
          <w:szCs w:val="22"/>
        </w:rPr>
        <w:t>o p</w:t>
      </w:r>
      <w:r w:rsidR="00193E84">
        <w:rPr>
          <w:rFonts w:asciiTheme="minorHAnsi" w:hAnsiTheme="minorHAnsi" w:cstheme="minorHAnsi"/>
          <w:sz w:val="22"/>
          <w:szCs w:val="22"/>
        </w:rPr>
        <w:t>roduto com avarias ou defeitos;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Atender prontamente a quaisquer exigências da Administração, inerentes ao objeto da presente licitação;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Comunicar à Administração, no prazo máximo de 24 (vinte e quatro) horas que antecede a data da entrega, os motivos que impossibilitem o cumprimento do prazo previsto, com a devida comprovação;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Manter, durante toda a execução do contrato, em compatibilidade com as obrigações assumidas, todas as condições de habilitação e qualificação exigidas na licitação;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lastRenderedPageBreak/>
        <w:t>Não transferir a terceiros, por qualquer forma, nem mesmo parcialmente, as obrigações assumidas, nem subcontratar qualquer das prestações a que está obrigada, exceto nas condições autorizadas no Termo de Referência ou na minuta de contrato;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Responsabilizar-se pelas despesas dos tributos, encargos trabalhistas, previdenciários, fiscais, comerciais, taxas, fretes, seguros, deslocamento de pessoal, prestação de garantia e quaisquer outras que incidam ou venham a incidir na execução do contrato.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Designar preposto para assistir o fiscal do contrato.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</w:p>
    <w:p w:rsidR="00B42260" w:rsidRPr="00054EFC" w:rsidRDefault="00B42260" w:rsidP="00B42260">
      <w:pPr>
        <w:pStyle w:val="PargrafodaLista"/>
        <w:tabs>
          <w:tab w:val="left" w:pos="142"/>
          <w:tab w:val="left" w:pos="284"/>
          <w:tab w:val="left" w:pos="709"/>
        </w:tabs>
        <w:spacing w:after="0" w:line="360" w:lineRule="auto"/>
        <w:ind w:left="0"/>
        <w:rPr>
          <w:rFonts w:asciiTheme="minorHAnsi" w:hAnsiTheme="minorHAnsi" w:cstheme="minorHAnsi"/>
          <w:b/>
          <w:u w:val="single"/>
        </w:rPr>
      </w:pPr>
      <w:r w:rsidRPr="00054EFC">
        <w:rPr>
          <w:rFonts w:asciiTheme="minorHAnsi" w:hAnsiTheme="minorHAnsi" w:cstheme="minorHAnsi"/>
          <w:b/>
          <w:u w:val="single"/>
        </w:rPr>
        <w:t>OBRIGAÇÕES DA CONTRATANTE: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color w:val="000000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A Contratante obriga-se a: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Receber provisoriamente o material, disponibilizando local, data e horário;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 xml:space="preserve">Verificar minuciosamente, no prazo fixado, a conformidade dos </w:t>
      </w:r>
      <w:r w:rsidR="00BA459F">
        <w:rPr>
          <w:rFonts w:asciiTheme="minorHAnsi" w:hAnsiTheme="minorHAnsi" w:cstheme="minorHAnsi"/>
          <w:sz w:val="22"/>
          <w:szCs w:val="22"/>
        </w:rPr>
        <w:t>materiais</w:t>
      </w:r>
      <w:r w:rsidRPr="00054EFC">
        <w:rPr>
          <w:rFonts w:asciiTheme="minorHAnsi" w:hAnsiTheme="minorHAnsi" w:cstheme="minorHAnsi"/>
          <w:sz w:val="22"/>
          <w:szCs w:val="22"/>
        </w:rPr>
        <w:t xml:space="preserve"> recebidos provisoriamente com as especificações constantes do Edital e da proposta, para fins de aceitação e recebimento definitivos; </w:t>
      </w:r>
    </w:p>
    <w:p w:rsidR="00B42260" w:rsidRPr="00054EFC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Acompanhar e fiscalizar o cumprimento das obrigações da Contratada, através de servidor especialmente designado;</w:t>
      </w:r>
    </w:p>
    <w:p w:rsidR="00B42260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Efetuar o pagamento no prazo previsto.</w:t>
      </w:r>
    </w:p>
    <w:p w:rsidR="00B42260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</w:p>
    <w:p w:rsidR="00B42260" w:rsidRPr="00054EFC" w:rsidRDefault="00B42260" w:rsidP="00B42260">
      <w:pPr>
        <w:pStyle w:val="PargrafodaLista"/>
        <w:tabs>
          <w:tab w:val="left" w:pos="142"/>
          <w:tab w:val="left" w:pos="284"/>
        </w:tabs>
        <w:ind w:left="0"/>
        <w:rPr>
          <w:rFonts w:asciiTheme="minorHAnsi" w:hAnsiTheme="minorHAnsi" w:cstheme="minorHAnsi"/>
          <w:b/>
          <w:u w:val="single"/>
        </w:rPr>
      </w:pPr>
      <w:r w:rsidRPr="00054EFC">
        <w:rPr>
          <w:rFonts w:asciiTheme="minorHAnsi" w:hAnsiTheme="minorHAnsi" w:cstheme="minorHAnsi"/>
          <w:b/>
          <w:u w:val="single"/>
        </w:rPr>
        <w:t>CONTROLE DA EXECUÇÃO:</w:t>
      </w:r>
    </w:p>
    <w:p w:rsidR="00B42260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054EFC">
        <w:rPr>
          <w:rFonts w:asciiTheme="minorHAnsi" w:hAnsiTheme="minorHAnsi" w:cstheme="minorHAnsi"/>
          <w:sz w:val="22"/>
          <w:szCs w:val="22"/>
        </w:rPr>
        <w:t>A fiscalização da contratação será exercida por um representante da Administração, ao qual competirá dirimir as dúvidas que surgirem no curso da execução do contrato, e tudo dará ciência a Administração.</w:t>
      </w:r>
    </w:p>
    <w:p w:rsidR="00B42260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</w:p>
    <w:p w:rsidR="00B42260" w:rsidRDefault="00B42260" w:rsidP="00B42260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421A4">
        <w:rPr>
          <w:rFonts w:asciiTheme="minorHAnsi" w:hAnsiTheme="minorHAnsi" w:cstheme="minorHAnsi"/>
          <w:b/>
          <w:sz w:val="22"/>
          <w:szCs w:val="22"/>
          <w:u w:val="single"/>
        </w:rPr>
        <w:t>DAS INFRAÇÕES E DAS SANÇÕES ADMINISTRATIVAS:</w:t>
      </w:r>
    </w:p>
    <w:p w:rsidR="00B42260" w:rsidRDefault="00B42260" w:rsidP="00B42260">
      <w:pPr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Em caso de inexecução parcial ou total das condições fixadas neste processo e quaisquer outras irregularidades, a Administração poderá, garantida a prévia defesa, aplicar </w:t>
      </w:r>
      <w:proofErr w:type="spellStart"/>
      <w:r>
        <w:rPr>
          <w:rFonts w:asciiTheme="minorHAnsi" w:hAnsiTheme="minorHAnsi" w:cstheme="minorHAnsi"/>
          <w:sz w:val="22"/>
          <w:szCs w:val="22"/>
        </w:rPr>
        <w:t>á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adjudicatária as seguintes sanções:</w:t>
      </w:r>
    </w:p>
    <w:p w:rsidR="00B42260" w:rsidRDefault="00B42260" w:rsidP="00B42260">
      <w:pPr>
        <w:pStyle w:val="PargrafodaLista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Advertência;</w:t>
      </w:r>
    </w:p>
    <w:p w:rsidR="00B42260" w:rsidRDefault="00B42260" w:rsidP="00B42260">
      <w:pPr>
        <w:pStyle w:val="PargrafodaLista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Multa de1% (um por cento) calculada sobre o valor do empenho, no caso de o contratado não cumprir rigorosamente as exigências contratuais, salvo se por motivo de força maior definido em lei e reconhecido pela autoridade competente;</w:t>
      </w:r>
    </w:p>
    <w:p w:rsidR="00B42260" w:rsidRDefault="00B42260" w:rsidP="00B42260">
      <w:pPr>
        <w:pStyle w:val="PargrafodaLista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Suspensão temporária do direito de participar de licitação e impedimento de contratar com a Administração Pública pelo prazo de até 02 (dois) anos;</w:t>
      </w:r>
    </w:p>
    <w:p w:rsidR="00B42260" w:rsidRPr="009B6B3F" w:rsidRDefault="00B42260" w:rsidP="00B42260">
      <w:pPr>
        <w:pStyle w:val="PargrafodaLista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Declaração de inidoneidade para licitar ou contratar com a Administração Pública, enquanto pendurarem os motivos determinantes da punição ou até que a contratante promova sua reabilitação.</w:t>
      </w:r>
    </w:p>
    <w:p w:rsidR="00B42260" w:rsidRPr="00253394" w:rsidRDefault="00B42260" w:rsidP="00153C60">
      <w:pPr>
        <w:ind w:firstLine="567"/>
        <w:rPr>
          <w:rFonts w:asciiTheme="minorHAnsi" w:hAnsiTheme="minorHAnsi" w:cs="Calibri"/>
          <w:sz w:val="22"/>
          <w:szCs w:val="22"/>
        </w:rPr>
      </w:pPr>
    </w:p>
    <w:sectPr w:rsidR="00B42260" w:rsidRPr="00253394" w:rsidSect="00C53B27">
      <w:headerReference w:type="default" r:id="rId8"/>
      <w:pgSz w:w="11906" w:h="16838"/>
      <w:pgMar w:top="719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AC3" w:rsidRDefault="00F22AC3">
      <w:r>
        <w:separator/>
      </w:r>
    </w:p>
  </w:endnote>
  <w:endnote w:type="continuationSeparator" w:id="0">
    <w:p w:rsidR="00F22AC3" w:rsidRDefault="00F2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AC3" w:rsidRDefault="00F22AC3">
      <w:r>
        <w:separator/>
      </w:r>
    </w:p>
  </w:footnote>
  <w:footnote w:type="continuationSeparator" w:id="0">
    <w:p w:rsidR="00F22AC3" w:rsidRDefault="00F22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54F" w:rsidRPr="00F34179" w:rsidRDefault="003316B3" w:rsidP="000A3BAD">
    <w:pPr>
      <w:jc w:val="center"/>
      <w:rPr>
        <w:rFonts w:ascii="Calibri" w:hAnsi="Calibri" w:cs="Calibri"/>
        <w:b/>
        <w:bCs/>
        <w:sz w:val="28"/>
        <w:szCs w:val="28"/>
      </w:rPr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0F3AD318" wp14:editId="5EC10759">
          <wp:simplePos x="0" y="0"/>
          <wp:positionH relativeFrom="column">
            <wp:posOffset>4848225</wp:posOffset>
          </wp:positionH>
          <wp:positionV relativeFrom="paragraph">
            <wp:posOffset>-133985</wp:posOffset>
          </wp:positionV>
          <wp:extent cx="1232535" cy="821690"/>
          <wp:effectExtent l="19050" t="0" r="5715" b="0"/>
          <wp:wrapSquare wrapText="bothSides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2535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91E25"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654661AB" wp14:editId="581DB77C">
          <wp:simplePos x="0" y="0"/>
          <wp:positionH relativeFrom="column">
            <wp:posOffset>228600</wp:posOffset>
          </wp:positionH>
          <wp:positionV relativeFrom="paragraph">
            <wp:posOffset>-121285</wp:posOffset>
          </wp:positionV>
          <wp:extent cx="781050" cy="904875"/>
          <wp:effectExtent l="19050" t="0" r="0" b="0"/>
          <wp:wrapSquare wrapText="bothSides"/>
          <wp:docPr id="1" name="Imagem 1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454F" w:rsidRPr="00F34179">
      <w:rPr>
        <w:rFonts w:ascii="Calibri" w:hAnsi="Calibri" w:cs="Calibri"/>
        <w:b/>
        <w:bCs/>
        <w:sz w:val="28"/>
        <w:szCs w:val="28"/>
      </w:rPr>
      <w:t>Prefeitura Municipal de São Pedro da Aldeia</w:t>
    </w:r>
  </w:p>
  <w:p w:rsidR="001D454F" w:rsidRDefault="001D454F" w:rsidP="000A3BAD">
    <w:pPr>
      <w:jc w:val="center"/>
      <w:rPr>
        <w:rFonts w:ascii="Calibri" w:hAnsi="Calibri" w:cs="Calibri"/>
        <w:b/>
        <w:bCs/>
        <w:sz w:val="28"/>
        <w:szCs w:val="28"/>
      </w:rPr>
    </w:pPr>
    <w:r w:rsidRPr="00F34179">
      <w:rPr>
        <w:rFonts w:ascii="Calibri" w:hAnsi="Calibri" w:cs="Calibri"/>
        <w:b/>
        <w:bCs/>
        <w:sz w:val="28"/>
        <w:szCs w:val="28"/>
      </w:rPr>
      <w:t>Secretaria Municipal de Administração</w:t>
    </w:r>
  </w:p>
  <w:p w:rsidR="001D454F" w:rsidRDefault="001D45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2A0C54E2"/>
    <w:multiLevelType w:val="hybridMultilevel"/>
    <w:tmpl w:val="BC9416AC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5C77C9"/>
    <w:multiLevelType w:val="hybridMultilevel"/>
    <w:tmpl w:val="B91E5FB8"/>
    <w:lvl w:ilvl="0" w:tplc="154EB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AF7AE0"/>
    <w:multiLevelType w:val="hybridMultilevel"/>
    <w:tmpl w:val="6EBE032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4D4DC0"/>
    <w:multiLevelType w:val="hybridMultilevel"/>
    <w:tmpl w:val="D21E5AAA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38241DC"/>
    <w:multiLevelType w:val="hybridMultilevel"/>
    <w:tmpl w:val="E6E208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268BF"/>
    <w:multiLevelType w:val="hybridMultilevel"/>
    <w:tmpl w:val="505439B0"/>
    <w:lvl w:ilvl="0" w:tplc="A7D63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905431"/>
    <w:multiLevelType w:val="hybridMultilevel"/>
    <w:tmpl w:val="279E5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29"/>
    <w:rsid w:val="000270E3"/>
    <w:rsid w:val="00030443"/>
    <w:rsid w:val="0003443C"/>
    <w:rsid w:val="00041EAB"/>
    <w:rsid w:val="0004387B"/>
    <w:rsid w:val="00053816"/>
    <w:rsid w:val="0005435C"/>
    <w:rsid w:val="00055952"/>
    <w:rsid w:val="00060B84"/>
    <w:rsid w:val="00063158"/>
    <w:rsid w:val="00076A64"/>
    <w:rsid w:val="00096FDD"/>
    <w:rsid w:val="000A3BAD"/>
    <w:rsid w:val="000A4255"/>
    <w:rsid w:val="000A51E9"/>
    <w:rsid w:val="000C6DB7"/>
    <w:rsid w:val="000D1189"/>
    <w:rsid w:val="000E37A1"/>
    <w:rsid w:val="000E78D5"/>
    <w:rsid w:val="000F2821"/>
    <w:rsid w:val="000F3456"/>
    <w:rsid w:val="00101E92"/>
    <w:rsid w:val="00106B0C"/>
    <w:rsid w:val="00114203"/>
    <w:rsid w:val="00115418"/>
    <w:rsid w:val="00117C8E"/>
    <w:rsid w:val="00121E3E"/>
    <w:rsid w:val="00131730"/>
    <w:rsid w:val="001533E7"/>
    <w:rsid w:val="00153C60"/>
    <w:rsid w:val="0016029C"/>
    <w:rsid w:val="00172942"/>
    <w:rsid w:val="00191431"/>
    <w:rsid w:val="00193E84"/>
    <w:rsid w:val="001A3C49"/>
    <w:rsid w:val="001A5C8B"/>
    <w:rsid w:val="001C714C"/>
    <w:rsid w:val="001D2275"/>
    <w:rsid w:val="001D454F"/>
    <w:rsid w:val="001E33F6"/>
    <w:rsid w:val="001E534D"/>
    <w:rsid w:val="001E5E03"/>
    <w:rsid w:val="001E78EE"/>
    <w:rsid w:val="00200E59"/>
    <w:rsid w:val="0020436B"/>
    <w:rsid w:val="00207007"/>
    <w:rsid w:val="0022483D"/>
    <w:rsid w:val="002314DF"/>
    <w:rsid w:val="00232731"/>
    <w:rsid w:val="002421A0"/>
    <w:rsid w:val="00253394"/>
    <w:rsid w:val="00260D21"/>
    <w:rsid w:val="00262E22"/>
    <w:rsid w:val="002670D7"/>
    <w:rsid w:val="00267F12"/>
    <w:rsid w:val="00283570"/>
    <w:rsid w:val="0028489F"/>
    <w:rsid w:val="00291B22"/>
    <w:rsid w:val="00291E25"/>
    <w:rsid w:val="0029509B"/>
    <w:rsid w:val="002B033F"/>
    <w:rsid w:val="002E00E8"/>
    <w:rsid w:val="002E1C05"/>
    <w:rsid w:val="00301451"/>
    <w:rsid w:val="00306567"/>
    <w:rsid w:val="003074C7"/>
    <w:rsid w:val="00310EBD"/>
    <w:rsid w:val="0032185E"/>
    <w:rsid w:val="003316B3"/>
    <w:rsid w:val="00335011"/>
    <w:rsid w:val="00337EBA"/>
    <w:rsid w:val="00343272"/>
    <w:rsid w:val="003531FA"/>
    <w:rsid w:val="00371852"/>
    <w:rsid w:val="00373DFB"/>
    <w:rsid w:val="003745D7"/>
    <w:rsid w:val="00381C88"/>
    <w:rsid w:val="00383349"/>
    <w:rsid w:val="003A3D71"/>
    <w:rsid w:val="003A5402"/>
    <w:rsid w:val="003A7DB3"/>
    <w:rsid w:val="003C45DE"/>
    <w:rsid w:val="003F0F15"/>
    <w:rsid w:val="0041177E"/>
    <w:rsid w:val="00414917"/>
    <w:rsid w:val="00431902"/>
    <w:rsid w:val="00454740"/>
    <w:rsid w:val="00465CE0"/>
    <w:rsid w:val="00465E50"/>
    <w:rsid w:val="00485583"/>
    <w:rsid w:val="00485A28"/>
    <w:rsid w:val="004A12E5"/>
    <w:rsid w:val="004B3CDF"/>
    <w:rsid w:val="004D2990"/>
    <w:rsid w:val="004D5738"/>
    <w:rsid w:val="004D6176"/>
    <w:rsid w:val="004E071C"/>
    <w:rsid w:val="004F2C69"/>
    <w:rsid w:val="004F2FE4"/>
    <w:rsid w:val="005066C0"/>
    <w:rsid w:val="0051369E"/>
    <w:rsid w:val="0051401E"/>
    <w:rsid w:val="00522D07"/>
    <w:rsid w:val="00547BE7"/>
    <w:rsid w:val="00552651"/>
    <w:rsid w:val="005532DF"/>
    <w:rsid w:val="00566A82"/>
    <w:rsid w:val="00577F0D"/>
    <w:rsid w:val="005808FD"/>
    <w:rsid w:val="005838DF"/>
    <w:rsid w:val="00587429"/>
    <w:rsid w:val="00592FC7"/>
    <w:rsid w:val="00597E1E"/>
    <w:rsid w:val="005B6347"/>
    <w:rsid w:val="005D27D1"/>
    <w:rsid w:val="005E2BDA"/>
    <w:rsid w:val="00607309"/>
    <w:rsid w:val="006108DE"/>
    <w:rsid w:val="00611C9E"/>
    <w:rsid w:val="006157EE"/>
    <w:rsid w:val="00632742"/>
    <w:rsid w:val="00641573"/>
    <w:rsid w:val="00643C1C"/>
    <w:rsid w:val="00650086"/>
    <w:rsid w:val="00662B26"/>
    <w:rsid w:val="006801B8"/>
    <w:rsid w:val="00693435"/>
    <w:rsid w:val="00696880"/>
    <w:rsid w:val="006A7E4E"/>
    <w:rsid w:val="006B1B7C"/>
    <w:rsid w:val="006B6612"/>
    <w:rsid w:val="006D1854"/>
    <w:rsid w:val="006D22CD"/>
    <w:rsid w:val="007027AF"/>
    <w:rsid w:val="00711544"/>
    <w:rsid w:val="0072497F"/>
    <w:rsid w:val="007364FF"/>
    <w:rsid w:val="00767532"/>
    <w:rsid w:val="00774C1D"/>
    <w:rsid w:val="007759B9"/>
    <w:rsid w:val="00776C34"/>
    <w:rsid w:val="00784A56"/>
    <w:rsid w:val="00791427"/>
    <w:rsid w:val="00794E24"/>
    <w:rsid w:val="0079690F"/>
    <w:rsid w:val="007A477A"/>
    <w:rsid w:val="007B6D9C"/>
    <w:rsid w:val="007E410C"/>
    <w:rsid w:val="00800EA1"/>
    <w:rsid w:val="00801FC6"/>
    <w:rsid w:val="00802D9C"/>
    <w:rsid w:val="00807DEC"/>
    <w:rsid w:val="0081082A"/>
    <w:rsid w:val="00821D51"/>
    <w:rsid w:val="00822702"/>
    <w:rsid w:val="00822EAC"/>
    <w:rsid w:val="008324B6"/>
    <w:rsid w:val="00840EDC"/>
    <w:rsid w:val="0084205A"/>
    <w:rsid w:val="00842909"/>
    <w:rsid w:val="00843496"/>
    <w:rsid w:val="00850DB1"/>
    <w:rsid w:val="00876DE1"/>
    <w:rsid w:val="008A3173"/>
    <w:rsid w:val="008A46FE"/>
    <w:rsid w:val="008C5E9C"/>
    <w:rsid w:val="008F1D6C"/>
    <w:rsid w:val="0090541B"/>
    <w:rsid w:val="00906186"/>
    <w:rsid w:val="00923A19"/>
    <w:rsid w:val="00942B81"/>
    <w:rsid w:val="0094795F"/>
    <w:rsid w:val="0096190B"/>
    <w:rsid w:val="00971A02"/>
    <w:rsid w:val="00973149"/>
    <w:rsid w:val="00982151"/>
    <w:rsid w:val="00985E39"/>
    <w:rsid w:val="009A4B5A"/>
    <w:rsid w:val="009A4EDD"/>
    <w:rsid w:val="009B490E"/>
    <w:rsid w:val="009C0502"/>
    <w:rsid w:val="009C5C27"/>
    <w:rsid w:val="009E3264"/>
    <w:rsid w:val="009E6D22"/>
    <w:rsid w:val="009F0A34"/>
    <w:rsid w:val="00A05DCA"/>
    <w:rsid w:val="00A062F4"/>
    <w:rsid w:val="00A13998"/>
    <w:rsid w:val="00A20B4A"/>
    <w:rsid w:val="00A21198"/>
    <w:rsid w:val="00A30157"/>
    <w:rsid w:val="00A7012D"/>
    <w:rsid w:val="00A7027C"/>
    <w:rsid w:val="00A71CFF"/>
    <w:rsid w:val="00A84ABD"/>
    <w:rsid w:val="00A8710F"/>
    <w:rsid w:val="00A90DEA"/>
    <w:rsid w:val="00A95ACF"/>
    <w:rsid w:val="00A972E2"/>
    <w:rsid w:val="00AA7312"/>
    <w:rsid w:val="00AC6FF0"/>
    <w:rsid w:val="00AD136D"/>
    <w:rsid w:val="00AD1639"/>
    <w:rsid w:val="00AD41B7"/>
    <w:rsid w:val="00AD73AB"/>
    <w:rsid w:val="00AE362E"/>
    <w:rsid w:val="00AF32D5"/>
    <w:rsid w:val="00AF564B"/>
    <w:rsid w:val="00B153A3"/>
    <w:rsid w:val="00B26C59"/>
    <w:rsid w:val="00B42260"/>
    <w:rsid w:val="00B45FC9"/>
    <w:rsid w:val="00B501F1"/>
    <w:rsid w:val="00B66193"/>
    <w:rsid w:val="00B9243D"/>
    <w:rsid w:val="00BA459F"/>
    <w:rsid w:val="00BB580C"/>
    <w:rsid w:val="00BE6855"/>
    <w:rsid w:val="00BE6A53"/>
    <w:rsid w:val="00BF4E91"/>
    <w:rsid w:val="00C2548C"/>
    <w:rsid w:val="00C32238"/>
    <w:rsid w:val="00C53B27"/>
    <w:rsid w:val="00CD6659"/>
    <w:rsid w:val="00CF4CDB"/>
    <w:rsid w:val="00D10F8C"/>
    <w:rsid w:val="00D12D8F"/>
    <w:rsid w:val="00D27B6B"/>
    <w:rsid w:val="00D407AE"/>
    <w:rsid w:val="00D65652"/>
    <w:rsid w:val="00D8440F"/>
    <w:rsid w:val="00D95667"/>
    <w:rsid w:val="00DA07D6"/>
    <w:rsid w:val="00DA2656"/>
    <w:rsid w:val="00DC11FE"/>
    <w:rsid w:val="00DC24A9"/>
    <w:rsid w:val="00DD0A1F"/>
    <w:rsid w:val="00DD525C"/>
    <w:rsid w:val="00DD7283"/>
    <w:rsid w:val="00E1567C"/>
    <w:rsid w:val="00E2283D"/>
    <w:rsid w:val="00E25EF9"/>
    <w:rsid w:val="00E3543E"/>
    <w:rsid w:val="00E55159"/>
    <w:rsid w:val="00E56642"/>
    <w:rsid w:val="00E65738"/>
    <w:rsid w:val="00E71917"/>
    <w:rsid w:val="00E90316"/>
    <w:rsid w:val="00EA2954"/>
    <w:rsid w:val="00EA55C3"/>
    <w:rsid w:val="00EA55E9"/>
    <w:rsid w:val="00EA6FC6"/>
    <w:rsid w:val="00EB317F"/>
    <w:rsid w:val="00ED2F19"/>
    <w:rsid w:val="00EE1118"/>
    <w:rsid w:val="00F04406"/>
    <w:rsid w:val="00F053C7"/>
    <w:rsid w:val="00F200FB"/>
    <w:rsid w:val="00F22AC3"/>
    <w:rsid w:val="00F24365"/>
    <w:rsid w:val="00F32EA9"/>
    <w:rsid w:val="00F34179"/>
    <w:rsid w:val="00F36297"/>
    <w:rsid w:val="00F37793"/>
    <w:rsid w:val="00F403FC"/>
    <w:rsid w:val="00F42E8C"/>
    <w:rsid w:val="00F60EC5"/>
    <w:rsid w:val="00F8618B"/>
    <w:rsid w:val="00F95C91"/>
    <w:rsid w:val="00FA2745"/>
    <w:rsid w:val="00FA2CD9"/>
    <w:rsid w:val="00FB36E8"/>
    <w:rsid w:val="00FC210C"/>
    <w:rsid w:val="00FD1673"/>
    <w:rsid w:val="00FD7A6D"/>
    <w:rsid w:val="00FF03F7"/>
    <w:rsid w:val="00F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79E927"/>
  <w15:docId w15:val="{F5C933E9-6EA3-44ED-8B7F-025F99D7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A34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BE68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BE6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link w:val="Ttulo4Char"/>
    <w:uiPriority w:val="99"/>
    <w:qFormat/>
    <w:rsid w:val="00BE6855"/>
    <w:pPr>
      <w:suppressAutoHyphens w:val="0"/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lang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BE6855"/>
    <w:pPr>
      <w:keepNext/>
      <w:jc w:val="center"/>
      <w:outlineLvl w:val="7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E685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9"/>
    <w:locked/>
    <w:rsid w:val="00BE685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Ttulo4Char">
    <w:name w:val="Título 4 Char"/>
    <w:basedOn w:val="Fontepargpadro"/>
    <w:link w:val="Ttulo4"/>
    <w:uiPriority w:val="99"/>
    <w:locked/>
    <w:rsid w:val="00BE6855"/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locked/>
    <w:rsid w:val="00BE6855"/>
    <w:rPr>
      <w:rFonts w:cs="Times New Roman"/>
      <w:b/>
      <w:bCs/>
      <w:sz w:val="36"/>
      <w:szCs w:val="36"/>
      <w:lang w:eastAsia="ar-SA" w:bidi="ar-SA"/>
    </w:rPr>
  </w:style>
  <w:style w:type="paragraph" w:styleId="Ttulo">
    <w:name w:val="Title"/>
    <w:basedOn w:val="Normal"/>
    <w:next w:val="Normal"/>
    <w:link w:val="TtuloChar"/>
    <w:uiPriority w:val="99"/>
    <w:qFormat/>
    <w:rsid w:val="00BE6855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locked/>
    <w:rsid w:val="00BE6855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styleId="Forte">
    <w:name w:val="Strong"/>
    <w:basedOn w:val="Fontepargpadro"/>
    <w:uiPriority w:val="99"/>
    <w:qFormat/>
    <w:rsid w:val="00BE6855"/>
    <w:rPr>
      <w:rFonts w:cs="Times New Roman"/>
      <w:b/>
      <w:bCs/>
    </w:rPr>
  </w:style>
  <w:style w:type="character" w:styleId="nfase">
    <w:name w:val="Emphasis"/>
    <w:basedOn w:val="Fontepargpadro"/>
    <w:uiPriority w:val="99"/>
    <w:qFormat/>
    <w:rsid w:val="00BE6855"/>
    <w:rPr>
      <w:rFonts w:cs="Times New Roman"/>
      <w:i/>
      <w:iCs/>
    </w:rPr>
  </w:style>
  <w:style w:type="paragraph" w:styleId="PargrafodaLista">
    <w:name w:val="List Paragraph"/>
    <w:basedOn w:val="Normal"/>
    <w:uiPriority w:val="99"/>
    <w:qFormat/>
    <w:rsid w:val="00BE685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rsid w:val="005874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87429"/>
    <w:rPr>
      <w:rFonts w:ascii="Tahoma" w:hAnsi="Tahoma" w:cs="Tahoma"/>
      <w:sz w:val="16"/>
      <w:szCs w:val="16"/>
      <w:lang w:eastAsia="ar-SA" w:bidi="ar-SA"/>
    </w:rPr>
  </w:style>
  <w:style w:type="table" w:styleId="Tabelacomgrade">
    <w:name w:val="Table Grid"/>
    <w:basedOn w:val="Tabelanormal"/>
    <w:uiPriority w:val="99"/>
    <w:rsid w:val="0072497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  <w:style w:type="paragraph" w:styleId="Rodap">
    <w:name w:val="footer"/>
    <w:basedOn w:val="Normal"/>
    <w:link w:val="Rodap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2892A-9C0E-4F25-9B38-056E8BA6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870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São Pedro da Aldeia</vt:lpstr>
    </vt:vector>
  </TitlesOfParts>
  <Company>Ramon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São Pedro da Aldeia</dc:title>
  <dc:creator>Grazieli</dc:creator>
  <cp:lastModifiedBy>comprastorrao</cp:lastModifiedBy>
  <cp:revision>10</cp:revision>
  <cp:lastPrinted>2020-01-07T12:30:00Z</cp:lastPrinted>
  <dcterms:created xsi:type="dcterms:W3CDTF">2018-12-07T18:26:00Z</dcterms:created>
  <dcterms:modified xsi:type="dcterms:W3CDTF">2020-01-07T13:09:00Z</dcterms:modified>
</cp:coreProperties>
</file>